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Partner Scorecard</w:t>
      </w:r>
    </w:p>
    <w:p>
      <w:pPr/>
      <w:r>
        <w:t xml:space="preserve">Use this scorecard to rate each partner on the same eight measures every quarter. Each metric gets a score from 1 to 5 using the scoring guide, the score is multiplied by the metric's weight, and the weighted scores add up to a total out of 5. The total decides whether the partner moves up a tier, stays, or gets a development plan.</w:t>
      </w:r>
    </w:p>
    <w:p>
      <w:pPr>
        <w:pStyle w:val="Note"/>
      </w:pPr>
      <w:r>
        <w:rPr>
          <w:i/>
        </w:rPr>
        <w:t xml:space="preserve">The targets and actuals below are example values for a services partner in a B2B SaaS program. Replace them with your own. Weights must add up to 1. In the Excel version, the Weighted score column and the Total row calculate automatically.</w:t>
      </w:r>
    </w:p>
    <w:p>
      <w:pPr/>
      <w:r>
        <w:rPr>
          <w:b/>
        </w:rPr>
        <w:t xml:space="preserve">Partner:</w:t>
      </w:r>
      <w:r>
        <w:t xml:space="preserve"> </w:t>
      </w:r>
      <w:r>
        <w:rPr>
          <w:shd w:val="clear" w:color="auto" w:fill="FEF7C3"/>
        </w:rPr>
        <w:t xml:space="preserve">[Partner name]</w:t>
      </w:r>
      <w:r>
        <w:t xml:space="preserve"> | </w:t>
      </w:r>
      <w:r>
        <w:rPr>
          <w:b/>
        </w:rPr>
        <w:t xml:space="preserve">Current tier:</w:t>
      </w:r>
      <w:r>
        <w:t xml:space="preserve"> </w:t>
      </w:r>
      <w:r>
        <w:rPr>
          <w:shd w:val="clear" w:color="auto" w:fill="FEF7C3"/>
        </w:rPr>
        <w:t xml:space="preserve">[Silver]</w:t>
      </w:r>
      <w:r>
        <w:t xml:space="preserve"> | </w:t>
      </w:r>
      <w:r>
        <w:rPr>
          <w:b/>
        </w:rPr>
        <w:t xml:space="preserve">Period:</w:t>
      </w:r>
      <w:r>
        <w:t xml:space="preserve"> </w:t>
      </w:r>
      <w:r>
        <w:rPr>
          <w:shd w:val="clear" w:color="auto" w:fill="FEF7C3"/>
        </w:rPr>
        <w:t xml:space="preserve">[Q3 2026]</w:t>
      </w:r>
      <w:r>
        <w:t xml:space="preserve"> | </w:t>
      </w:r>
      <w:r>
        <w:rPr>
          <w:b/>
        </w:rPr>
        <w:t xml:space="preserve">Reviewed by:</w:t>
      </w:r>
      <w:r>
        <w:t xml:space="preserve"> </w:t>
      </w:r>
      <w:r>
        <w:rPr>
          <w:shd w:val="clear" w:color="auto" w:fill="FEF7C3"/>
        </w:rPr>
        <w:t xml:space="preserve">[Partner manager name]</w:t>
      </w:r>
      <w:r>
        <w:t xml:space="preserve"> | </w:t>
      </w:r>
      <w:r>
        <w:rPr>
          <w:b/>
        </w:rPr>
        <w:t xml:space="preserve">Review date:</w:t>
      </w:r>
      <w:r>
        <w:t xml:space="preserve"> </w:t>
      </w:r>
      <w:r>
        <w:rPr>
          <w:shd w:val="clear" w:color="auto" w:fill="FEF7C3"/>
        </w:rPr>
        <w:t xml:space="preserve">[Date]</w:t>
      </w:r>
    </w:p>
    <w:p>
      <w:pPr>
        <w:pStyle w:val="Heading1"/>
        <w:keepNext/>
      </w:pPr>
      <w:r>
        <w:t xml:space="preserve">Weighted scorecard</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560"/>
        <w:gridCol w:w="1560"/>
        <w:gridCol w:w="1560"/>
        <w:gridCol w:w="1560"/>
        <w:gridCol w:w="1560"/>
        <w:gridCol w:w="1560"/>
      </w:tblGrid>
      <w:tr>
        <w:trPr>
          <w:tblHeader/>
        </w:trPr>
        <w:tc>
          <w:tcPr>
            <w:tcW w:w="1560" w:type="dxa"/>
            <w:shd w:val="clear" w:color="auto" w:fill="F2F4F7"/>
          </w:tcPr>
          <w:p>
            <w:pPr>
              <w:spacing w:before="40" w:after="40"/>
            </w:pPr>
            <w:r>
              <w:rPr>
                <w:b/>
              </w:rPr>
              <w:t xml:space="preserve">Metric</w:t>
            </w:r>
          </w:p>
        </w:tc>
        <w:tc>
          <w:tcPr>
            <w:tcW w:w="1560" w:type="dxa"/>
            <w:shd w:val="clear" w:color="auto" w:fill="F2F4F7"/>
          </w:tcPr>
          <w:p>
            <w:pPr>
              <w:spacing w:before="40" w:after="40"/>
            </w:pPr>
            <w:r>
              <w:rPr>
                <w:b/>
              </w:rPr>
              <w:t xml:space="preserve">Weight</w:t>
            </w:r>
          </w:p>
        </w:tc>
        <w:tc>
          <w:tcPr>
            <w:tcW w:w="1560" w:type="dxa"/>
            <w:shd w:val="clear" w:color="auto" w:fill="F2F4F7"/>
          </w:tcPr>
          <w:p>
            <w:pPr>
              <w:spacing w:before="40" w:after="40"/>
            </w:pPr>
            <w:r>
              <w:rPr>
                <w:b/>
              </w:rPr>
              <w:t xml:space="preserve">Target</w:t>
            </w:r>
          </w:p>
        </w:tc>
        <w:tc>
          <w:tcPr>
            <w:tcW w:w="1560" w:type="dxa"/>
            <w:shd w:val="clear" w:color="auto" w:fill="F2F4F7"/>
          </w:tcPr>
          <w:p>
            <w:pPr>
              <w:spacing w:before="40" w:after="40"/>
            </w:pPr>
            <w:r>
              <w:rPr>
                <w:b/>
              </w:rPr>
              <w:t xml:space="preserve">Actual</w:t>
            </w:r>
          </w:p>
        </w:tc>
        <w:tc>
          <w:tcPr>
            <w:tcW w:w="1560" w:type="dxa"/>
            <w:shd w:val="clear" w:color="auto" w:fill="F2F4F7"/>
          </w:tcPr>
          <w:p>
            <w:pPr>
              <w:spacing w:before="40" w:after="40"/>
            </w:pPr>
            <w:r>
              <w:rPr>
                <w:b/>
              </w:rPr>
              <w:t xml:space="preserve">Score (1 to 5)</w:t>
            </w:r>
          </w:p>
        </w:tc>
        <w:tc>
          <w:tcPr>
            <w:tcW w:w="1560" w:type="dxa"/>
            <w:shd w:val="clear" w:color="auto" w:fill="F2F4F7"/>
          </w:tcPr>
          <w:p>
            <w:pPr>
              <w:spacing w:before="40" w:after="40"/>
            </w:pPr>
            <w:r>
              <w:rPr>
                <w:b/>
              </w:rPr>
              <w:t xml:space="preserve">Weighted score</w:t>
            </w:r>
          </w:p>
        </w:tc>
      </w:tr>
      <w:tr>
        <w:tc>
          <w:tcPr>
            <w:tcW w:w="1560" w:type="dxa"/>
          </w:tcPr>
          <w:p>
            <w:pPr>
              <w:spacing w:before="40" w:after="40"/>
            </w:pPr>
            <w:r>
              <w:t xml:space="preserve">Partner-sourced new ARR</w:t>
            </w:r>
          </w:p>
        </w:tc>
        <w:tc>
          <w:tcPr>
            <w:tcW w:w="1560" w:type="dxa"/>
          </w:tcPr>
          <w:p>
            <w:pPr>
              <w:spacing w:before="40" w:after="40"/>
            </w:pPr>
            <w:r>
              <w:t xml:space="preserve">0.20</w:t>
            </w:r>
          </w:p>
        </w:tc>
        <w:tc>
          <w:tcPr>
            <w:tcW w:w="1560" w:type="dxa"/>
          </w:tcPr>
          <w:p>
            <w:pPr>
              <w:spacing w:before="40" w:after="40"/>
            </w:pPr>
            <w:r>
              <w:t xml:space="preserve">$100,000</w:t>
            </w:r>
          </w:p>
        </w:tc>
        <w:tc>
          <w:tcPr>
            <w:tcW w:w="1560" w:type="dxa"/>
          </w:tcPr>
          <w:p>
            <w:pPr>
              <w:spacing w:before="40" w:after="40"/>
            </w:pPr>
            <w:r>
              <w:t xml:space="preserve">$85,000</w:t>
            </w:r>
          </w:p>
        </w:tc>
        <w:tc>
          <w:tcPr>
            <w:tcW w:w="1560" w:type="dxa"/>
          </w:tcPr>
          <w:p>
            <w:pPr>
              <w:spacing w:before="40" w:after="40"/>
            </w:pPr>
            <w:r>
              <w:t xml:space="preserve">3</w:t>
            </w:r>
          </w:p>
        </w:tc>
        <w:tc>
          <w:tcPr>
            <w:tcW w:w="1560" w:type="dxa"/>
          </w:tcPr>
          <w:p>
            <w:pPr>
              <w:spacing w:before="40" w:after="40"/>
            </w:pPr>
          </w:p>
        </w:tc>
      </w:tr>
      <w:tr>
        <w:tc>
          <w:tcPr>
            <w:tcW w:w="1560" w:type="dxa"/>
          </w:tcPr>
          <w:p>
            <w:pPr>
              <w:spacing w:before="40" w:after="40"/>
            </w:pPr>
            <w:r>
              <w:t xml:space="preserve">Partner-influenced new ARR</w:t>
            </w:r>
          </w:p>
        </w:tc>
        <w:tc>
          <w:tcPr>
            <w:tcW w:w="1560" w:type="dxa"/>
          </w:tcPr>
          <w:p>
            <w:pPr>
              <w:spacing w:before="40" w:after="40"/>
            </w:pPr>
            <w:r>
              <w:t xml:space="preserve">0.10</w:t>
            </w:r>
          </w:p>
        </w:tc>
        <w:tc>
          <w:tcPr>
            <w:tcW w:w="1560" w:type="dxa"/>
          </w:tcPr>
          <w:p>
            <w:pPr>
              <w:spacing w:before="40" w:after="40"/>
            </w:pPr>
            <w:r>
              <w:t xml:space="preserve">$50,000</w:t>
            </w:r>
          </w:p>
        </w:tc>
        <w:tc>
          <w:tcPr>
            <w:tcW w:w="1560" w:type="dxa"/>
          </w:tcPr>
          <w:p>
            <w:pPr>
              <w:spacing w:before="40" w:after="40"/>
            </w:pPr>
            <w:r>
              <w:t xml:space="preserve">$60,000</w:t>
            </w:r>
          </w:p>
        </w:tc>
        <w:tc>
          <w:tcPr>
            <w:tcW w:w="1560" w:type="dxa"/>
          </w:tcPr>
          <w:p>
            <w:pPr>
              <w:spacing w:before="40" w:after="40"/>
            </w:pPr>
            <w:r>
              <w:t xml:space="preserve">5</w:t>
            </w:r>
          </w:p>
        </w:tc>
        <w:tc>
          <w:tcPr>
            <w:tcW w:w="1560" w:type="dxa"/>
          </w:tcPr>
          <w:p>
            <w:pPr>
              <w:spacing w:before="40" w:after="40"/>
            </w:pPr>
          </w:p>
        </w:tc>
      </w:tr>
      <w:tr>
        <w:tc>
          <w:tcPr>
            <w:tcW w:w="1560" w:type="dxa"/>
          </w:tcPr>
          <w:p>
            <w:pPr>
              <w:spacing w:before="40" w:after="40"/>
            </w:pPr>
            <w:r>
              <w:t xml:space="preserve">Partner-sourced pipeline created</w:t>
            </w:r>
          </w:p>
        </w:tc>
        <w:tc>
          <w:tcPr>
            <w:tcW w:w="1560" w:type="dxa"/>
          </w:tcPr>
          <w:p>
            <w:pPr>
              <w:spacing w:before="40" w:after="40"/>
            </w:pPr>
            <w:r>
              <w:t xml:space="preserve">0.15</w:t>
            </w:r>
          </w:p>
        </w:tc>
        <w:tc>
          <w:tcPr>
            <w:tcW w:w="1560" w:type="dxa"/>
          </w:tcPr>
          <w:p>
            <w:pPr>
              <w:spacing w:before="40" w:after="40"/>
            </w:pPr>
            <w:r>
              <w:t xml:space="preserve">$300,000</w:t>
            </w:r>
          </w:p>
        </w:tc>
        <w:tc>
          <w:tcPr>
            <w:tcW w:w="1560" w:type="dxa"/>
          </w:tcPr>
          <w:p>
            <w:pPr>
              <w:spacing w:before="40" w:after="40"/>
            </w:pPr>
            <w:r>
              <w:t xml:space="preserve">$240,000</w:t>
            </w:r>
          </w:p>
        </w:tc>
        <w:tc>
          <w:tcPr>
            <w:tcW w:w="1560" w:type="dxa"/>
          </w:tcPr>
          <w:p>
            <w:pPr>
              <w:spacing w:before="40" w:after="40"/>
            </w:pPr>
            <w:r>
              <w:t xml:space="preserve">3</w:t>
            </w:r>
          </w:p>
        </w:tc>
        <w:tc>
          <w:tcPr>
            <w:tcW w:w="1560" w:type="dxa"/>
          </w:tcPr>
          <w:p>
            <w:pPr>
              <w:spacing w:before="40" w:after="40"/>
            </w:pPr>
          </w:p>
        </w:tc>
      </w:tr>
      <w:tr>
        <w:tc>
          <w:tcPr>
            <w:tcW w:w="1560" w:type="dxa"/>
          </w:tcPr>
          <w:p>
            <w:pPr>
              <w:spacing w:before="40" w:after="40"/>
            </w:pPr>
            <w:r>
              <w:t xml:space="preserve">Win rate on registered deals</w:t>
            </w:r>
          </w:p>
        </w:tc>
        <w:tc>
          <w:tcPr>
            <w:tcW w:w="1560" w:type="dxa"/>
          </w:tcPr>
          <w:p>
            <w:pPr>
              <w:spacing w:before="40" w:after="40"/>
            </w:pPr>
            <w:r>
              <w:t xml:space="preserve">0.10</w:t>
            </w:r>
          </w:p>
        </w:tc>
        <w:tc>
          <w:tcPr>
            <w:tcW w:w="1560" w:type="dxa"/>
          </w:tcPr>
          <w:p>
            <w:pPr>
              <w:spacing w:before="40" w:after="40"/>
            </w:pPr>
            <w:r>
              <w:t xml:space="preserve">25%</w:t>
            </w:r>
          </w:p>
        </w:tc>
        <w:tc>
          <w:tcPr>
            <w:tcW w:w="1560" w:type="dxa"/>
          </w:tcPr>
          <w:p>
            <w:pPr>
              <w:spacing w:before="40" w:after="40"/>
            </w:pPr>
            <w:r>
              <w:t xml:space="preserve">22%</w:t>
            </w:r>
          </w:p>
        </w:tc>
        <w:tc>
          <w:tcPr>
            <w:tcW w:w="1560" w:type="dxa"/>
          </w:tcPr>
          <w:p>
            <w:pPr>
              <w:spacing w:before="40" w:after="40"/>
            </w:pPr>
            <w:r>
              <w:t xml:space="preserve">3</w:t>
            </w:r>
          </w:p>
        </w:tc>
        <w:tc>
          <w:tcPr>
            <w:tcW w:w="1560" w:type="dxa"/>
          </w:tcPr>
          <w:p>
            <w:pPr>
              <w:spacing w:before="40" w:after="40"/>
            </w:pPr>
          </w:p>
        </w:tc>
      </w:tr>
      <w:tr>
        <w:tc>
          <w:tcPr>
            <w:tcW w:w="1560" w:type="dxa"/>
          </w:tcPr>
          <w:p>
            <w:pPr>
              <w:spacing w:before="40" w:after="40"/>
            </w:pPr>
            <w:r>
              <w:t xml:space="preserve">Deals registered</w:t>
            </w:r>
          </w:p>
        </w:tc>
        <w:tc>
          <w:tcPr>
            <w:tcW w:w="1560" w:type="dxa"/>
          </w:tcPr>
          <w:p>
            <w:pPr>
              <w:spacing w:before="40" w:after="40"/>
            </w:pPr>
            <w:r>
              <w:t xml:space="preserve">0.10</w:t>
            </w:r>
          </w:p>
        </w:tc>
        <w:tc>
          <w:tcPr>
            <w:tcW w:w="1560" w:type="dxa"/>
          </w:tcPr>
          <w:p>
            <w:pPr>
              <w:spacing w:before="40" w:after="40"/>
            </w:pPr>
            <w:r>
              <w:t xml:space="preserve">12</w:t>
            </w:r>
          </w:p>
        </w:tc>
        <w:tc>
          <w:tcPr>
            <w:tcW w:w="1560" w:type="dxa"/>
          </w:tcPr>
          <w:p>
            <w:pPr>
              <w:spacing w:before="40" w:after="40"/>
            </w:pPr>
            <w:r>
              <w:t xml:space="preserve">9</w:t>
            </w:r>
          </w:p>
        </w:tc>
        <w:tc>
          <w:tcPr>
            <w:tcW w:w="1560" w:type="dxa"/>
          </w:tcPr>
          <w:p>
            <w:pPr>
              <w:spacing w:before="40" w:after="40"/>
            </w:pPr>
            <w:r>
              <w:t xml:space="preserve">3</w:t>
            </w:r>
          </w:p>
        </w:tc>
        <w:tc>
          <w:tcPr>
            <w:tcW w:w="1560" w:type="dxa"/>
          </w:tcPr>
          <w:p>
            <w:pPr>
              <w:spacing w:before="40" w:after="40"/>
            </w:pPr>
          </w:p>
        </w:tc>
      </w:tr>
      <w:tr>
        <w:tc>
          <w:tcPr>
            <w:tcW w:w="1560" w:type="dxa"/>
          </w:tcPr>
          <w:p>
            <w:pPr>
              <w:spacing w:before="40" w:after="40"/>
            </w:pPr>
            <w:r>
              <w:t xml:space="preserve">Joint marketing activities completed</w:t>
            </w:r>
          </w:p>
        </w:tc>
        <w:tc>
          <w:tcPr>
            <w:tcW w:w="1560" w:type="dxa"/>
          </w:tcPr>
          <w:p>
            <w:pPr>
              <w:spacing w:before="40" w:after="40"/>
            </w:pPr>
            <w:r>
              <w:t xml:space="preserve">0.05</w:t>
            </w:r>
          </w:p>
        </w:tc>
        <w:tc>
          <w:tcPr>
            <w:tcW w:w="1560" w:type="dxa"/>
          </w:tcPr>
          <w:p>
            <w:pPr>
              <w:spacing w:before="40" w:after="40"/>
            </w:pPr>
            <w:r>
              <w:t xml:space="preserve">2</w:t>
            </w:r>
          </w:p>
        </w:tc>
        <w:tc>
          <w:tcPr>
            <w:tcW w:w="1560" w:type="dxa"/>
          </w:tcPr>
          <w:p>
            <w:pPr>
              <w:spacing w:before="40" w:after="40"/>
            </w:pPr>
            <w:r>
              <w:t xml:space="preserve">2</w:t>
            </w:r>
          </w:p>
        </w:tc>
        <w:tc>
          <w:tcPr>
            <w:tcW w:w="1560" w:type="dxa"/>
          </w:tcPr>
          <w:p>
            <w:pPr>
              <w:spacing w:before="40" w:after="40"/>
            </w:pPr>
            <w:r>
              <w:t xml:space="preserve">4</w:t>
            </w:r>
          </w:p>
        </w:tc>
        <w:tc>
          <w:tcPr>
            <w:tcW w:w="1560" w:type="dxa"/>
          </w:tcPr>
          <w:p>
            <w:pPr>
              <w:spacing w:before="40" w:after="40"/>
            </w:pPr>
          </w:p>
        </w:tc>
      </w:tr>
      <w:tr>
        <w:tc>
          <w:tcPr>
            <w:tcW w:w="1560" w:type="dxa"/>
          </w:tcPr>
          <w:p>
            <w:pPr>
              <w:spacing w:before="40" w:after="40"/>
            </w:pPr>
            <w:r>
              <w:t xml:space="preserve">Certified sellers at the partner</w:t>
            </w:r>
          </w:p>
        </w:tc>
        <w:tc>
          <w:tcPr>
            <w:tcW w:w="1560" w:type="dxa"/>
          </w:tcPr>
          <w:p>
            <w:pPr>
              <w:spacing w:before="40" w:after="40"/>
            </w:pPr>
            <w:r>
              <w:t xml:space="preserve">0.15</w:t>
            </w:r>
          </w:p>
        </w:tc>
        <w:tc>
          <w:tcPr>
            <w:tcW w:w="1560" w:type="dxa"/>
          </w:tcPr>
          <w:p>
            <w:pPr>
              <w:spacing w:before="40" w:after="40"/>
            </w:pPr>
            <w:r>
              <w:t xml:space="preserve">3</w:t>
            </w:r>
          </w:p>
        </w:tc>
        <w:tc>
          <w:tcPr>
            <w:tcW w:w="1560" w:type="dxa"/>
          </w:tcPr>
          <w:p>
            <w:pPr>
              <w:spacing w:before="40" w:after="40"/>
            </w:pPr>
            <w:r>
              <w:t xml:space="preserve">2</w:t>
            </w:r>
          </w:p>
        </w:tc>
        <w:tc>
          <w:tcPr>
            <w:tcW w:w="1560" w:type="dxa"/>
          </w:tcPr>
          <w:p>
            <w:pPr>
              <w:spacing w:before="40" w:after="40"/>
            </w:pPr>
            <w:r>
              <w:t xml:space="preserve">3</w:t>
            </w:r>
          </w:p>
        </w:tc>
        <w:tc>
          <w:tcPr>
            <w:tcW w:w="1560" w:type="dxa"/>
          </w:tcPr>
          <w:p>
            <w:pPr>
              <w:spacing w:before="40" w:after="40"/>
            </w:pPr>
          </w:p>
        </w:tc>
      </w:tr>
      <w:tr>
        <w:tc>
          <w:tcPr>
            <w:tcW w:w="1560" w:type="dxa"/>
          </w:tcPr>
          <w:p>
            <w:pPr>
              <w:spacing w:before="40" w:after="40"/>
            </w:pPr>
            <w:r>
              <w:t xml:space="preserve">Gross revenue retention of partner-sourced customers</w:t>
            </w:r>
          </w:p>
        </w:tc>
        <w:tc>
          <w:tcPr>
            <w:tcW w:w="1560" w:type="dxa"/>
          </w:tcPr>
          <w:p>
            <w:pPr>
              <w:spacing w:before="40" w:after="40"/>
            </w:pPr>
            <w:r>
              <w:t xml:space="preserve">0.15</w:t>
            </w:r>
          </w:p>
        </w:tc>
        <w:tc>
          <w:tcPr>
            <w:tcW w:w="1560" w:type="dxa"/>
          </w:tcPr>
          <w:p>
            <w:pPr>
              <w:spacing w:before="40" w:after="40"/>
            </w:pPr>
            <w:r>
              <w:t xml:space="preserve">90%</w:t>
            </w:r>
          </w:p>
        </w:tc>
        <w:tc>
          <w:tcPr>
            <w:tcW w:w="1560" w:type="dxa"/>
          </w:tcPr>
          <w:p>
            <w:pPr>
              <w:spacing w:before="40" w:after="40"/>
            </w:pPr>
            <w:r>
              <w:t xml:space="preserve">92%</w:t>
            </w:r>
          </w:p>
        </w:tc>
        <w:tc>
          <w:tcPr>
            <w:tcW w:w="1560" w:type="dxa"/>
          </w:tcPr>
          <w:p>
            <w:pPr>
              <w:spacing w:before="40" w:after="40"/>
            </w:pPr>
            <w:r>
              <w:t xml:space="preserve">4</w:t>
            </w:r>
          </w:p>
        </w:tc>
        <w:tc>
          <w:tcPr>
            <w:tcW w:w="1560" w:type="dxa"/>
          </w:tcPr>
          <w:p>
            <w:pPr>
              <w:spacing w:before="40" w:after="40"/>
            </w:pPr>
          </w:p>
        </w:tc>
      </w:tr>
      <w:tr>
        <w:tc>
          <w:tcPr>
            <w:tcW w:w="1560" w:type="dxa"/>
          </w:tcPr>
          <w:p>
            <w:pPr>
              <w:spacing w:before="40" w:after="40"/>
            </w:pPr>
            <w:r>
              <w:t xml:space="preserve">Total</w:t>
            </w:r>
          </w:p>
        </w:tc>
        <w:tc>
          <w:tcPr>
            <w:tcW w:w="1560" w:type="dxa"/>
          </w:tcPr>
          <w:p>
            <w:pPr>
              <w:spacing w:before="40" w:after="40"/>
            </w:pPr>
          </w:p>
        </w:tc>
        <w:tc>
          <w:tcPr>
            <w:tcW w:w="1560" w:type="dxa"/>
          </w:tcPr>
          <w:p>
            <w:pPr>
              <w:spacing w:before="40" w:after="40"/>
            </w:pPr>
          </w:p>
        </w:tc>
        <w:tc>
          <w:tcPr>
            <w:tcW w:w="1560" w:type="dxa"/>
          </w:tcPr>
          <w:p>
            <w:pPr>
              <w:spacing w:before="40" w:after="40"/>
            </w:pPr>
          </w:p>
        </w:tc>
        <w:tc>
          <w:tcPr>
            <w:tcW w:w="1560" w:type="dxa"/>
          </w:tcPr>
          <w:p>
            <w:pPr>
              <w:spacing w:before="40" w:after="40"/>
            </w:pPr>
          </w:p>
        </w:tc>
        <w:tc>
          <w:tcPr>
            <w:tcW w:w="1560" w:type="dxa"/>
          </w:tcPr>
          <w:p>
            <w:pPr>
              <w:spacing w:before="40" w:after="40"/>
            </w:pPr>
          </w:p>
        </w:tc>
      </w:tr>
    </w:tbl>
    <w:p/>
    <w:p>
      <w:pPr/>
      <w:r>
        <w:t xml:space="preserve">With these example values the total is 3.40 out of 5, which keeps the partner in their current tier (see the tier rules below). The Total in the Weight column should always show 1.</w:t>
      </w:r>
    </w:p>
    <w:p>
      <w:pPr>
        <w:pStyle w:val="Heading1"/>
        <w:keepNext/>
      </w:pPr>
      <w:r>
        <w:t xml:space="preserve">Scoring guide</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560"/>
        <w:gridCol w:w="1560"/>
        <w:gridCol w:w="1560"/>
        <w:gridCol w:w="1560"/>
        <w:gridCol w:w="1560"/>
        <w:gridCol w:w="1560"/>
      </w:tblGrid>
      <w:tr>
        <w:trPr>
          <w:tblHeader/>
        </w:trPr>
        <w:tc>
          <w:tcPr>
            <w:tcW w:w="1560" w:type="dxa"/>
            <w:shd w:val="clear" w:color="auto" w:fill="F2F4F7"/>
          </w:tcPr>
          <w:p>
            <w:pPr>
              <w:spacing w:before="40" w:after="40"/>
            </w:pPr>
            <w:r>
              <w:rPr>
                <w:b/>
              </w:rPr>
              <w:t xml:space="preserve">Metric</w:t>
            </w:r>
          </w:p>
        </w:tc>
        <w:tc>
          <w:tcPr>
            <w:tcW w:w="1560" w:type="dxa"/>
            <w:shd w:val="clear" w:color="auto" w:fill="F2F4F7"/>
          </w:tcPr>
          <w:p>
            <w:pPr>
              <w:spacing w:before="40" w:after="40"/>
            </w:pPr>
            <w:r>
              <w:rPr>
                <w:b/>
              </w:rPr>
              <w:t xml:space="preserve">1</w:t>
            </w:r>
          </w:p>
        </w:tc>
        <w:tc>
          <w:tcPr>
            <w:tcW w:w="1560" w:type="dxa"/>
            <w:shd w:val="clear" w:color="auto" w:fill="F2F4F7"/>
          </w:tcPr>
          <w:p>
            <w:pPr>
              <w:spacing w:before="40" w:after="40"/>
            </w:pPr>
            <w:r>
              <w:rPr>
                <w:b/>
              </w:rPr>
              <w:t xml:space="preserve">2</w:t>
            </w:r>
          </w:p>
        </w:tc>
        <w:tc>
          <w:tcPr>
            <w:tcW w:w="1560" w:type="dxa"/>
            <w:shd w:val="clear" w:color="auto" w:fill="F2F4F7"/>
          </w:tcPr>
          <w:p>
            <w:pPr>
              <w:spacing w:before="40" w:after="40"/>
            </w:pPr>
            <w:r>
              <w:rPr>
                <w:b/>
              </w:rPr>
              <w:t xml:space="preserve">3</w:t>
            </w:r>
          </w:p>
        </w:tc>
        <w:tc>
          <w:tcPr>
            <w:tcW w:w="1560" w:type="dxa"/>
            <w:shd w:val="clear" w:color="auto" w:fill="F2F4F7"/>
          </w:tcPr>
          <w:p>
            <w:pPr>
              <w:spacing w:before="40" w:after="40"/>
            </w:pPr>
            <w:r>
              <w:rPr>
                <w:b/>
              </w:rPr>
              <w:t xml:space="preserve">4</w:t>
            </w:r>
          </w:p>
        </w:tc>
        <w:tc>
          <w:tcPr>
            <w:tcW w:w="1560" w:type="dxa"/>
            <w:shd w:val="clear" w:color="auto" w:fill="F2F4F7"/>
          </w:tcPr>
          <w:p>
            <w:pPr>
              <w:spacing w:before="40" w:after="40"/>
            </w:pPr>
            <w:r>
              <w:rPr>
                <w:b/>
              </w:rPr>
              <w:t xml:space="preserve">5</w:t>
            </w:r>
          </w:p>
        </w:tc>
      </w:tr>
      <w:tr>
        <w:tc>
          <w:tcPr>
            <w:tcW w:w="1560" w:type="dxa"/>
          </w:tcPr>
          <w:p>
            <w:pPr>
              <w:spacing w:before="40" w:after="40"/>
            </w:pPr>
            <w:r>
              <w:t xml:space="preserve">Partner-sourced new ARR</w:t>
            </w:r>
          </w:p>
        </w:tc>
        <w:tc>
          <w:tcPr>
            <w:tcW w:w="1560" w:type="dxa"/>
          </w:tcPr>
          <w:p>
            <w:pPr>
              <w:spacing w:before="40" w:after="40"/>
            </w:pPr>
            <w:r>
              <w:t xml:space="preserve">Below 60% of target</w:t>
            </w:r>
          </w:p>
        </w:tc>
        <w:tc>
          <w:tcPr>
            <w:tcW w:w="1560" w:type="dxa"/>
          </w:tcPr>
          <w:p>
            <w:pPr>
              <w:spacing w:before="40" w:after="40"/>
            </w:pPr>
            <w:r>
              <w:t xml:space="preserve">60 to 79% of target</w:t>
            </w:r>
          </w:p>
        </w:tc>
        <w:tc>
          <w:tcPr>
            <w:tcW w:w="1560" w:type="dxa"/>
          </w:tcPr>
          <w:p>
            <w:pPr>
              <w:spacing w:before="40" w:after="40"/>
            </w:pPr>
            <w:r>
              <w:t xml:space="preserve">80 to 99% of target</w:t>
            </w:r>
          </w:p>
        </w:tc>
        <w:tc>
          <w:tcPr>
            <w:tcW w:w="1560" w:type="dxa"/>
          </w:tcPr>
          <w:p>
            <w:pPr>
              <w:spacing w:before="40" w:after="40"/>
            </w:pPr>
            <w:r>
              <w:t xml:space="preserve">100 to 119% of target</w:t>
            </w:r>
          </w:p>
        </w:tc>
        <w:tc>
          <w:tcPr>
            <w:tcW w:w="1560" w:type="dxa"/>
          </w:tcPr>
          <w:p>
            <w:pPr>
              <w:spacing w:before="40" w:after="40"/>
            </w:pPr>
            <w:r>
              <w:t xml:space="preserve">120% of target or more</w:t>
            </w:r>
          </w:p>
        </w:tc>
      </w:tr>
      <w:tr>
        <w:tc>
          <w:tcPr>
            <w:tcW w:w="1560" w:type="dxa"/>
          </w:tcPr>
          <w:p>
            <w:pPr>
              <w:spacing w:before="40" w:after="40"/>
            </w:pPr>
            <w:r>
              <w:t xml:space="preserve">Partner-influenced new ARR</w:t>
            </w:r>
          </w:p>
        </w:tc>
        <w:tc>
          <w:tcPr>
            <w:tcW w:w="1560" w:type="dxa"/>
          </w:tcPr>
          <w:p>
            <w:pPr>
              <w:spacing w:before="40" w:after="40"/>
            </w:pPr>
            <w:r>
              <w:t xml:space="preserve">Below 60% of target</w:t>
            </w:r>
          </w:p>
        </w:tc>
        <w:tc>
          <w:tcPr>
            <w:tcW w:w="1560" w:type="dxa"/>
          </w:tcPr>
          <w:p>
            <w:pPr>
              <w:spacing w:before="40" w:after="40"/>
            </w:pPr>
            <w:r>
              <w:t xml:space="preserve">60 to 79% of target</w:t>
            </w:r>
          </w:p>
        </w:tc>
        <w:tc>
          <w:tcPr>
            <w:tcW w:w="1560" w:type="dxa"/>
          </w:tcPr>
          <w:p>
            <w:pPr>
              <w:spacing w:before="40" w:after="40"/>
            </w:pPr>
            <w:r>
              <w:t xml:space="preserve">80 to 99% of target</w:t>
            </w:r>
          </w:p>
        </w:tc>
        <w:tc>
          <w:tcPr>
            <w:tcW w:w="1560" w:type="dxa"/>
          </w:tcPr>
          <w:p>
            <w:pPr>
              <w:spacing w:before="40" w:after="40"/>
            </w:pPr>
            <w:r>
              <w:t xml:space="preserve">100 to 119% of target</w:t>
            </w:r>
          </w:p>
        </w:tc>
        <w:tc>
          <w:tcPr>
            <w:tcW w:w="1560" w:type="dxa"/>
          </w:tcPr>
          <w:p>
            <w:pPr>
              <w:spacing w:before="40" w:after="40"/>
            </w:pPr>
            <w:r>
              <w:t xml:space="preserve">120% of target or more</w:t>
            </w:r>
          </w:p>
        </w:tc>
      </w:tr>
      <w:tr>
        <w:tc>
          <w:tcPr>
            <w:tcW w:w="1560" w:type="dxa"/>
          </w:tcPr>
          <w:p>
            <w:pPr>
              <w:spacing w:before="40" w:after="40"/>
            </w:pPr>
            <w:r>
              <w:t xml:space="preserve">Partner-sourced pipeline created</w:t>
            </w:r>
          </w:p>
        </w:tc>
        <w:tc>
          <w:tcPr>
            <w:tcW w:w="1560" w:type="dxa"/>
          </w:tcPr>
          <w:p>
            <w:pPr>
              <w:spacing w:before="40" w:after="40"/>
            </w:pPr>
            <w:r>
              <w:t xml:space="preserve">Below 60% of target</w:t>
            </w:r>
          </w:p>
        </w:tc>
        <w:tc>
          <w:tcPr>
            <w:tcW w:w="1560" w:type="dxa"/>
          </w:tcPr>
          <w:p>
            <w:pPr>
              <w:spacing w:before="40" w:after="40"/>
            </w:pPr>
            <w:r>
              <w:t xml:space="preserve">60 to 79% of target</w:t>
            </w:r>
          </w:p>
        </w:tc>
        <w:tc>
          <w:tcPr>
            <w:tcW w:w="1560" w:type="dxa"/>
          </w:tcPr>
          <w:p>
            <w:pPr>
              <w:spacing w:before="40" w:after="40"/>
            </w:pPr>
            <w:r>
              <w:t xml:space="preserve">80 to 99% of target</w:t>
            </w:r>
          </w:p>
        </w:tc>
        <w:tc>
          <w:tcPr>
            <w:tcW w:w="1560" w:type="dxa"/>
          </w:tcPr>
          <w:p>
            <w:pPr>
              <w:spacing w:before="40" w:after="40"/>
            </w:pPr>
            <w:r>
              <w:t xml:space="preserve">100 to 119% of target</w:t>
            </w:r>
          </w:p>
        </w:tc>
        <w:tc>
          <w:tcPr>
            <w:tcW w:w="1560" w:type="dxa"/>
          </w:tcPr>
          <w:p>
            <w:pPr>
              <w:spacing w:before="40" w:after="40"/>
            </w:pPr>
            <w:r>
              <w:t xml:space="preserve">120% of target or more</w:t>
            </w:r>
          </w:p>
        </w:tc>
      </w:tr>
      <w:tr>
        <w:tc>
          <w:tcPr>
            <w:tcW w:w="1560" w:type="dxa"/>
          </w:tcPr>
          <w:p>
            <w:pPr>
              <w:spacing w:before="40" w:after="40"/>
            </w:pPr>
            <w:r>
              <w:t xml:space="preserve">Win rate on registered deals</w:t>
            </w:r>
          </w:p>
        </w:tc>
        <w:tc>
          <w:tcPr>
            <w:tcW w:w="1560" w:type="dxa"/>
          </w:tcPr>
          <w:p>
            <w:pPr>
              <w:spacing w:before="40" w:after="40"/>
            </w:pPr>
            <w:r>
              <w:t xml:space="preserve">Below 15%</w:t>
            </w:r>
          </w:p>
        </w:tc>
        <w:tc>
          <w:tcPr>
            <w:tcW w:w="1560" w:type="dxa"/>
          </w:tcPr>
          <w:p>
            <w:pPr>
              <w:spacing w:before="40" w:after="40"/>
            </w:pPr>
            <w:r>
              <w:t xml:space="preserve">15 to 19%</w:t>
            </w:r>
          </w:p>
        </w:tc>
        <w:tc>
          <w:tcPr>
            <w:tcW w:w="1560" w:type="dxa"/>
          </w:tcPr>
          <w:p>
            <w:pPr>
              <w:spacing w:before="40" w:after="40"/>
            </w:pPr>
            <w:r>
              <w:t xml:space="preserve">20 to 24%</w:t>
            </w:r>
          </w:p>
        </w:tc>
        <w:tc>
          <w:tcPr>
            <w:tcW w:w="1560" w:type="dxa"/>
          </w:tcPr>
          <w:p>
            <w:pPr>
              <w:spacing w:before="40" w:after="40"/>
            </w:pPr>
            <w:r>
              <w:t xml:space="preserve">25 to 29%</w:t>
            </w:r>
          </w:p>
        </w:tc>
        <w:tc>
          <w:tcPr>
            <w:tcW w:w="1560" w:type="dxa"/>
          </w:tcPr>
          <w:p>
            <w:pPr>
              <w:spacing w:before="40" w:after="40"/>
            </w:pPr>
            <w:r>
              <w:t xml:space="preserve">30% or more</w:t>
            </w:r>
          </w:p>
        </w:tc>
      </w:tr>
      <w:tr>
        <w:tc>
          <w:tcPr>
            <w:tcW w:w="1560" w:type="dxa"/>
          </w:tcPr>
          <w:p>
            <w:pPr>
              <w:spacing w:before="40" w:after="40"/>
            </w:pPr>
            <w:r>
              <w:t xml:space="preserve">Deals registered</w:t>
            </w:r>
          </w:p>
        </w:tc>
        <w:tc>
          <w:tcPr>
            <w:tcW w:w="1560" w:type="dxa"/>
          </w:tcPr>
          <w:p>
            <w:pPr>
              <w:spacing w:before="40" w:after="40"/>
            </w:pPr>
            <w:r>
              <w:t xml:space="preserve">0 to 5</w:t>
            </w:r>
          </w:p>
        </w:tc>
        <w:tc>
          <w:tcPr>
            <w:tcW w:w="1560" w:type="dxa"/>
          </w:tcPr>
          <w:p>
            <w:pPr>
              <w:spacing w:before="40" w:after="40"/>
            </w:pPr>
            <w:r>
              <w:t xml:space="preserve">6 to 8</w:t>
            </w:r>
          </w:p>
        </w:tc>
        <w:tc>
          <w:tcPr>
            <w:tcW w:w="1560" w:type="dxa"/>
          </w:tcPr>
          <w:p>
            <w:pPr>
              <w:spacing w:before="40" w:after="40"/>
            </w:pPr>
            <w:r>
              <w:t xml:space="preserve">9 to 11</w:t>
            </w:r>
          </w:p>
        </w:tc>
        <w:tc>
          <w:tcPr>
            <w:tcW w:w="1560" w:type="dxa"/>
          </w:tcPr>
          <w:p>
            <w:pPr>
              <w:spacing w:before="40" w:after="40"/>
            </w:pPr>
            <w:r>
              <w:t xml:space="preserve">12 to 14</w:t>
            </w:r>
          </w:p>
        </w:tc>
        <w:tc>
          <w:tcPr>
            <w:tcW w:w="1560" w:type="dxa"/>
          </w:tcPr>
          <w:p>
            <w:pPr>
              <w:spacing w:before="40" w:after="40"/>
            </w:pPr>
            <w:r>
              <w:t xml:space="preserve">15 or more</w:t>
            </w:r>
          </w:p>
        </w:tc>
      </w:tr>
      <w:tr>
        <w:tc>
          <w:tcPr>
            <w:tcW w:w="1560" w:type="dxa"/>
          </w:tcPr>
          <w:p>
            <w:pPr>
              <w:spacing w:before="40" w:after="40"/>
            </w:pPr>
            <w:r>
              <w:t xml:space="preserve">Joint marketing activities completed</w:t>
            </w:r>
          </w:p>
        </w:tc>
        <w:tc>
          <w:tcPr>
            <w:tcW w:w="1560" w:type="dxa"/>
          </w:tcPr>
          <w:p>
            <w:pPr>
              <w:spacing w:before="40" w:after="40"/>
            </w:pPr>
            <w:r>
              <w:t xml:space="preserve">None planned</w:t>
            </w:r>
          </w:p>
        </w:tc>
        <w:tc>
          <w:tcPr>
            <w:tcW w:w="1560" w:type="dxa"/>
          </w:tcPr>
          <w:p>
            <w:pPr>
              <w:spacing w:before="40" w:after="40"/>
            </w:pPr>
            <w:r>
              <w:t xml:space="preserve">Planned but not run</w:t>
            </w:r>
          </w:p>
        </w:tc>
        <w:tc>
          <w:tcPr>
            <w:tcW w:w="1560" w:type="dxa"/>
          </w:tcPr>
          <w:p>
            <w:pPr>
              <w:spacing w:before="40" w:after="40"/>
            </w:pPr>
            <w:r>
              <w:t xml:space="preserve">1 completed</w:t>
            </w:r>
          </w:p>
        </w:tc>
        <w:tc>
          <w:tcPr>
            <w:tcW w:w="1560" w:type="dxa"/>
          </w:tcPr>
          <w:p>
            <w:pPr>
              <w:spacing w:before="40" w:after="40"/>
            </w:pPr>
            <w:r>
              <w:t xml:space="preserve">2 completed</w:t>
            </w:r>
          </w:p>
        </w:tc>
        <w:tc>
          <w:tcPr>
            <w:tcW w:w="1560" w:type="dxa"/>
          </w:tcPr>
          <w:p>
            <w:pPr>
              <w:spacing w:before="40" w:after="40"/>
            </w:pPr>
            <w:r>
              <w:t xml:space="preserve">3 or more completed, with leads tracked</w:t>
            </w:r>
          </w:p>
        </w:tc>
      </w:tr>
      <w:tr>
        <w:tc>
          <w:tcPr>
            <w:tcW w:w="1560" w:type="dxa"/>
          </w:tcPr>
          <w:p>
            <w:pPr>
              <w:spacing w:before="40" w:after="40"/>
            </w:pPr>
            <w:r>
              <w:t xml:space="preserve">Certified sellers at the partner</w:t>
            </w:r>
          </w:p>
        </w:tc>
        <w:tc>
          <w:tcPr>
            <w:tcW w:w="1560" w:type="dxa"/>
          </w:tcPr>
          <w:p>
            <w:pPr>
              <w:spacing w:before="40" w:after="40"/>
            </w:pPr>
            <w:r>
              <w:t xml:space="preserve">None</w:t>
            </w:r>
          </w:p>
        </w:tc>
        <w:tc>
          <w:tcPr>
            <w:tcW w:w="1560" w:type="dxa"/>
          </w:tcPr>
          <w:p>
            <w:pPr>
              <w:spacing w:before="40" w:after="40"/>
            </w:pPr>
            <w:r>
              <w:t xml:space="preserve">1</w:t>
            </w:r>
          </w:p>
        </w:tc>
        <w:tc>
          <w:tcPr>
            <w:tcW w:w="1560" w:type="dxa"/>
          </w:tcPr>
          <w:p>
            <w:pPr>
              <w:spacing w:before="40" w:after="40"/>
            </w:pPr>
            <w:r>
              <w:t xml:space="preserve">2</w:t>
            </w:r>
          </w:p>
        </w:tc>
        <w:tc>
          <w:tcPr>
            <w:tcW w:w="1560" w:type="dxa"/>
          </w:tcPr>
          <w:p>
            <w:pPr>
              <w:spacing w:before="40" w:after="40"/>
            </w:pPr>
            <w:r>
              <w:t xml:space="preserve">3</w:t>
            </w:r>
          </w:p>
        </w:tc>
        <w:tc>
          <w:tcPr>
            <w:tcW w:w="1560" w:type="dxa"/>
          </w:tcPr>
          <w:p>
            <w:pPr>
              <w:spacing w:before="40" w:after="40"/>
            </w:pPr>
            <w:r>
              <w:t xml:space="preserve">4 or more</w:t>
            </w:r>
          </w:p>
        </w:tc>
      </w:tr>
      <w:tr>
        <w:tc>
          <w:tcPr>
            <w:tcW w:w="1560" w:type="dxa"/>
          </w:tcPr>
          <w:p>
            <w:pPr>
              <w:spacing w:before="40" w:after="40"/>
            </w:pPr>
            <w:r>
              <w:t xml:space="preserve">Gross revenue retention of partner-sourced customers</w:t>
            </w:r>
          </w:p>
        </w:tc>
        <w:tc>
          <w:tcPr>
            <w:tcW w:w="1560" w:type="dxa"/>
          </w:tcPr>
          <w:p>
            <w:pPr>
              <w:spacing w:before="40" w:after="40"/>
            </w:pPr>
            <w:r>
              <w:t xml:space="preserve">Below 75%</w:t>
            </w:r>
          </w:p>
        </w:tc>
        <w:tc>
          <w:tcPr>
            <w:tcW w:w="1560" w:type="dxa"/>
          </w:tcPr>
          <w:p>
            <w:pPr>
              <w:spacing w:before="40" w:after="40"/>
            </w:pPr>
            <w:r>
              <w:t xml:space="preserve">75 to 84%</w:t>
            </w:r>
          </w:p>
        </w:tc>
        <w:tc>
          <w:tcPr>
            <w:tcW w:w="1560" w:type="dxa"/>
          </w:tcPr>
          <w:p>
            <w:pPr>
              <w:spacing w:before="40" w:after="40"/>
            </w:pPr>
            <w:r>
              <w:t xml:space="preserve">85 to 89%</w:t>
            </w:r>
          </w:p>
        </w:tc>
        <w:tc>
          <w:tcPr>
            <w:tcW w:w="1560" w:type="dxa"/>
          </w:tcPr>
          <w:p>
            <w:pPr>
              <w:spacing w:before="40" w:after="40"/>
            </w:pPr>
            <w:r>
              <w:t xml:space="preserve">90 to 94%</w:t>
            </w:r>
          </w:p>
        </w:tc>
        <w:tc>
          <w:tcPr>
            <w:tcW w:w="1560" w:type="dxa"/>
          </w:tcPr>
          <w:p>
            <w:pPr>
              <w:spacing w:before="40" w:after="40"/>
            </w:pPr>
            <w:r>
              <w:t xml:space="preserve">95% or more</w:t>
            </w:r>
          </w:p>
        </w:tc>
      </w:tr>
    </w:tbl>
    <w:p/>
    <w:p>
      <w:pPr/>
      <w:r>
        <w:t xml:space="preserve">How to use the guide:</w:t>
      </w:r>
    </w:p>
    <w:p>
      <w:pPr>
        <w:pStyle w:val="ListParagraph"/>
        <w:numPr>
          <w:ilvl w:val="0"/>
          <w:numId w:val="1"/>
        </w:numPr>
      </w:pPr>
      <w:r>
        <w:t xml:space="preserve">Score on what happened in the period, from your CRM or partner portal, not on what the partner expects to close.</w:t>
      </w:r>
    </w:p>
    <w:p>
      <w:pPr>
        <w:pStyle w:val="ListParagraph"/>
        <w:numPr>
          <w:ilvl w:val="0"/>
          <w:numId w:val="1"/>
        </w:numPr>
      </w:pPr>
      <w:r>
        <w:t xml:space="preserve">If a metric does not apply to a partner type (for example, deal registration for a pure referral partner), set its weight to 0 and spread that weight across the other metrics so the total is still 1.</w:t>
      </w:r>
    </w:p>
    <w:p>
      <w:pPr>
        <w:pStyle w:val="ListParagraph"/>
        <w:numPr>
          <w:ilvl w:val="0"/>
          <w:numId w:val="1"/>
        </w:numPr>
      </w:pPr>
      <w:r>
        <w:t xml:space="preserve">Change the bands to fit your program, but keep them the same for every partner in a tier during the year.</w:t>
      </w:r>
    </w:p>
    <w:p>
      <w:pPr>
        <w:pStyle w:val="Heading1"/>
        <w:keepNext/>
      </w:pPr>
      <w:r>
        <w:t xml:space="preserve">Tier rules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Total weighted score</w:t>
            </w:r>
          </w:p>
        </w:tc>
        <w:tc>
          <w:tcPr>
            <w:tcW w:w="4680" w:type="dxa"/>
            <w:shd w:val="clear" w:color="auto" w:fill="F2F4F7"/>
          </w:tcPr>
          <w:p>
            <w:pPr>
              <w:spacing w:before="40" w:after="40"/>
            </w:pPr>
            <w:r>
              <w:rPr>
                <w:b/>
              </w:rPr>
              <w:t xml:space="preserve">What happens</w:t>
            </w:r>
          </w:p>
        </w:tc>
      </w:tr>
      <w:tr>
        <w:tc>
          <w:tcPr>
            <w:tcW w:w="4680" w:type="dxa"/>
          </w:tcPr>
          <w:p>
            <w:pPr>
              <w:spacing w:before="40" w:after="40"/>
            </w:pPr>
            <w:r>
              <w:t xml:space="preserve">4.0 or more</w:t>
            </w:r>
          </w:p>
        </w:tc>
        <w:tc>
          <w:tcPr>
            <w:tcW w:w="4680" w:type="dxa"/>
          </w:tcPr>
          <w:p>
            <w:pPr>
              <w:spacing w:before="40" w:after="40"/>
            </w:pPr>
            <w:r>
              <w:t xml:space="preserve">Eligible to move up one tier at the next review, or keep the top tier</w:t>
            </w:r>
          </w:p>
        </w:tc>
      </w:tr>
      <w:tr>
        <w:tc>
          <w:tcPr>
            <w:tcW w:w="4680" w:type="dxa"/>
          </w:tcPr>
          <w:p>
            <w:pPr>
              <w:spacing w:before="40" w:after="40"/>
            </w:pPr>
            <w:r>
              <w:t xml:space="preserve">3.0 to 3.99</w:t>
            </w:r>
          </w:p>
        </w:tc>
        <w:tc>
          <w:tcPr>
            <w:tcW w:w="4680" w:type="dxa"/>
          </w:tcPr>
          <w:p>
            <w:pPr>
              <w:spacing w:before="40" w:after="40"/>
            </w:pPr>
            <w:r>
              <w:t xml:space="preserve">Stay in the current tier</w:t>
            </w:r>
          </w:p>
        </w:tc>
      </w:tr>
      <w:tr>
        <w:tc>
          <w:tcPr>
            <w:tcW w:w="4680" w:type="dxa"/>
          </w:tcPr>
          <w:p>
            <w:pPr>
              <w:spacing w:before="40" w:after="40"/>
            </w:pPr>
            <w:r>
              <w:t xml:space="preserve">2.0 to 2.99</w:t>
            </w:r>
          </w:p>
        </w:tc>
        <w:tc>
          <w:tcPr>
            <w:tcW w:w="4680" w:type="dxa"/>
          </w:tcPr>
          <w:p>
            <w:pPr>
              <w:spacing w:before="40" w:after="40"/>
            </w:pPr>
            <w:r>
              <w:t xml:space="preserve">Stay in the current tier with a written development plan, reviewed next quarter</w:t>
            </w:r>
          </w:p>
        </w:tc>
      </w:tr>
      <w:tr>
        <w:tc>
          <w:tcPr>
            <w:tcW w:w="4680" w:type="dxa"/>
          </w:tcPr>
          <w:p>
            <w:pPr>
              <w:spacing w:before="40" w:after="40"/>
            </w:pPr>
            <w:r>
              <w:t xml:space="preserve">Below 2.0</w:t>
            </w:r>
          </w:p>
        </w:tc>
        <w:tc>
          <w:tcPr>
            <w:tcW w:w="4680" w:type="dxa"/>
          </w:tcPr>
          <w:p>
            <w:pPr>
              <w:spacing w:before="40" w:after="40"/>
            </w:pPr>
            <w:r>
              <w:t xml:space="preserve">Move down one tier, or exit the program after two quarters in a row</w:t>
            </w:r>
          </w:p>
        </w:tc>
      </w:tr>
    </w:tbl>
    <w:p/>
    <w:p>
      <w:pPr/>
      <w:r>
        <w:t xml:space="preserve">Rules that keep tier changes fair:</w:t>
      </w:r>
    </w:p>
    <w:p>
      <w:pPr>
        <w:pStyle w:val="ListParagraph"/>
        <w:numPr>
          <w:ilvl w:val="0"/>
          <w:numId w:val="2"/>
        </w:numPr>
      </w:pPr>
      <w:r>
        <w:rPr>
          <w:b/>
        </w:rPr>
        <w:t xml:space="preserve">Move partners up on two consecutive quarters, not one.</w:t>
      </w:r>
      <w:r>
        <w:t xml:space="preserve"> A single large deal can lift one quarter's score.</w:t>
      </w:r>
    </w:p>
    <w:p>
      <w:pPr>
        <w:pStyle w:val="ListParagraph"/>
        <w:numPr>
          <w:ilvl w:val="0"/>
          <w:numId w:val="2"/>
        </w:numPr>
      </w:pPr>
      <w:r>
        <w:rPr>
          <w:b/>
        </w:rPr>
        <w:t xml:space="preserve">Give notice before moving a partner down.</w:t>
      </w:r>
      <w:r>
        <w:t xml:space="preserve"> Share the scorecard, agree the development plan, and allow one quarter to recover.</w:t>
      </w:r>
    </w:p>
    <w:p>
      <w:pPr>
        <w:pStyle w:val="ListParagraph"/>
        <w:numPr>
          <w:ilvl w:val="0"/>
          <w:numId w:val="2"/>
        </w:numPr>
      </w:pPr>
      <w:r>
        <w:rPr>
          <w:b/>
        </w:rPr>
        <w:t xml:space="preserve">Use the same scorecard for every partner in a tier.</w:t>
      </w:r>
      <w:r>
        <w:t xml:space="preserve"> Different weights for different partner types are fine, but publish them.</w:t>
      </w:r>
    </w:p>
    <w:p>
      <w:pPr>
        <w:pStyle w:val="Heading1"/>
        <w:keepNext/>
      </w:pPr>
      <w:r>
        <w:t xml:space="preserve">How to run the scorecard review</w:t>
      </w:r>
    </w:p>
    <w:p>
      <w:pPr>
        <w:pStyle w:val="ListParagraph"/>
        <w:numPr>
          <w:ilvl w:val="0"/>
          <w:numId w:val="3"/>
        </w:numPr>
      </w:pPr>
      <w:r>
        <w:rPr>
          <w:b/>
        </w:rPr>
        <w:t xml:space="preserve">Collect the numbers.</w:t>
      </w:r>
      <w:r>
        <w:t xml:space="preserve"> Pull revenue, pipeline, registrations and retention from your CRM or partner portal at the end of the quarter. Pull certifications from your training records.</w:t>
      </w:r>
    </w:p>
    <w:p>
      <w:pPr>
        <w:pStyle w:val="ListParagraph"/>
        <w:numPr>
          <w:ilvl w:val="0"/>
          <w:numId w:val="3"/>
        </w:numPr>
      </w:pPr>
      <w:r>
        <w:rPr>
          <w:b/>
        </w:rPr>
        <w:t xml:space="preserve">Score each metric.</w:t>
      </w:r>
      <w:r>
        <w:t xml:space="preserve"> Use the scoring guide and note anything unusual in the comments below.</w:t>
      </w:r>
    </w:p>
    <w:p>
      <w:pPr>
        <w:pStyle w:val="ListParagraph"/>
        <w:numPr>
          <w:ilvl w:val="0"/>
          <w:numId w:val="3"/>
        </w:numPr>
      </w:pPr>
      <w:r>
        <w:rPr>
          <w:b/>
        </w:rPr>
        <w:t xml:space="preserve">Share it before the meeting.</w:t>
      </w:r>
      <w:r>
        <w:t xml:space="preserve"> Send the scorecard to the partner </w:t>
      </w:r>
      <w:r>
        <w:rPr>
          <w:shd w:val="clear" w:color="auto" w:fill="FEF7C3"/>
        </w:rPr>
        <w:t xml:space="preserve">[3]</w:t>
      </w:r>
      <w:r>
        <w:t xml:space="preserve"> business days before their quarterly business review so they can check the figures.</w:t>
      </w:r>
    </w:p>
    <w:p>
      <w:pPr>
        <w:pStyle w:val="ListParagraph"/>
        <w:numPr>
          <w:ilvl w:val="0"/>
          <w:numId w:val="3"/>
        </w:numPr>
      </w:pPr>
      <w:r>
        <w:rPr>
          <w:b/>
        </w:rPr>
        <w:t xml:space="preserve">Review it together.</w:t>
      </w:r>
      <w:r>
        <w:t xml:space="preserve"> Spend most of the time on the two lowest-scoring metrics and what both sides will do about them.</w:t>
      </w:r>
    </w:p>
    <w:p>
      <w:pPr>
        <w:pStyle w:val="ListParagraph"/>
        <w:numPr>
          <w:ilvl w:val="0"/>
          <w:numId w:val="3"/>
        </w:numPr>
      </w:pPr>
      <w:r>
        <w:rPr>
          <w:b/>
        </w:rPr>
        <w:t xml:space="preserve">Agree actions and record the tier decision.</w:t>
      </w:r>
      <w:r>
        <w:t xml:space="preserve"> Write down any tier change, its effective date and what the partner needs to do to reach the next tier.</w:t>
      </w:r>
    </w:p>
    <w:p>
      <w:pPr>
        <w:pStyle w:val="Heading1"/>
        <w:keepNext/>
      </w:pPr>
      <w:r>
        <w:t xml:space="preserve">Comments and agreed actions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Metric</w:t>
            </w:r>
          </w:p>
        </w:tc>
        <w:tc>
          <w:tcPr>
            <w:tcW w:w="1872" w:type="dxa"/>
            <w:shd w:val="clear" w:color="auto" w:fill="F2F4F7"/>
          </w:tcPr>
          <w:p>
            <w:pPr>
              <w:spacing w:before="40" w:after="40"/>
            </w:pPr>
            <w:r>
              <w:rPr>
                <w:b/>
              </w:rPr>
              <w:t xml:space="preserve">Comment</w:t>
            </w:r>
          </w:p>
        </w:tc>
        <w:tc>
          <w:tcPr>
            <w:tcW w:w="1872" w:type="dxa"/>
            <w:shd w:val="clear" w:color="auto" w:fill="F2F4F7"/>
          </w:tcPr>
          <w:p>
            <w:pPr>
              <w:spacing w:before="40" w:after="40"/>
            </w:pPr>
            <w:r>
              <w:rPr>
                <w:b/>
              </w:rPr>
              <w:t xml:space="preserve">Action</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Due date</w:t>
            </w:r>
          </w:p>
        </w:tc>
      </w:tr>
      <w:tr>
        <w:tc>
          <w:tcPr>
            <w:tcW w:w="1872" w:type="dxa"/>
          </w:tcPr>
          <w:p>
            <w:pPr>
              <w:spacing w:before="40" w:after="40"/>
            </w:pPr>
            <w:r>
              <w:rPr>
                <w:shd w:val="clear" w:color="auto" w:fill="FEF7C3"/>
              </w:rPr>
              <w:t xml:space="preserve">[Deals registered]</w:t>
            </w:r>
          </w:p>
        </w:tc>
        <w:tc>
          <w:tcPr>
            <w:tcW w:w="1872" w:type="dxa"/>
          </w:tcPr>
          <w:p>
            <w:pPr>
              <w:spacing w:before="40" w:after="40"/>
            </w:pPr>
            <w:r>
              <w:rPr>
                <w:shd w:val="clear" w:color="auto" w:fill="FEF7C3"/>
              </w:rPr>
              <w:t xml:space="preserve">[Registrations slowed in August]</w:t>
            </w:r>
          </w:p>
        </w:tc>
        <w:tc>
          <w:tcPr>
            <w:tcW w:w="1872" w:type="dxa"/>
          </w:tcPr>
          <w:p>
            <w:pPr>
              <w:spacing w:before="40" w:after="40"/>
            </w:pPr>
            <w:r>
              <w:rPr>
                <w:shd w:val="clear" w:color="auto" w:fill="FEF7C3"/>
              </w:rPr>
              <w:t xml:space="preserve">[Remind sellers to register before the first demo]</w:t>
            </w:r>
          </w:p>
        </w:tc>
        <w:tc>
          <w:tcPr>
            <w:tcW w:w="1872" w:type="dxa"/>
          </w:tcPr>
          <w:p>
            <w:pPr>
              <w:spacing w:before="40" w:after="40"/>
            </w:pPr>
            <w:r>
              <w:rPr>
                <w:shd w:val="clear" w:color="auto" w:fill="FEF7C3"/>
              </w:rPr>
              <w:t xml:space="preserve">[Partner sales lead]</w:t>
            </w:r>
          </w:p>
        </w:tc>
        <w:tc>
          <w:tcPr>
            <w:tcW w:w="1872" w:type="dxa"/>
          </w:tcPr>
          <w:p>
            <w:pPr>
              <w:spacing w:before="40" w:after="40"/>
            </w:pPr>
            <w:r>
              <w:rPr>
                <w:shd w:val="clear" w:color="auto" w:fill="FEF7C3"/>
              </w:rPr>
              <w:t xml:space="preserve">[Date]</w:t>
            </w:r>
          </w:p>
        </w:tc>
      </w:tr>
      <w:tr>
        <w:tc>
          <w:tcPr>
            <w:tcW w:w="1872" w:type="dxa"/>
          </w:tcPr>
          <w:p>
            <w:pPr>
              <w:spacing w:before="40" w:after="40"/>
            </w:pPr>
            <w:r>
              <w:rPr>
                <w:shd w:val="clear" w:color="auto" w:fill="FEF7C3"/>
              </w:rPr>
              <w:t xml:space="preserve">[Certified sellers at the partner]</w:t>
            </w:r>
          </w:p>
        </w:tc>
        <w:tc>
          <w:tcPr>
            <w:tcW w:w="1872" w:type="dxa"/>
          </w:tcPr>
          <w:p>
            <w:pPr>
              <w:spacing w:before="40" w:after="40"/>
            </w:pPr>
            <w:r>
              <w:rPr>
                <w:shd w:val="clear" w:color="auto" w:fill="FEF7C3"/>
              </w:rPr>
              <w:t xml:space="preserve">[One certified seller left]</w:t>
            </w:r>
          </w:p>
        </w:tc>
        <w:tc>
          <w:tcPr>
            <w:tcW w:w="1872" w:type="dxa"/>
          </w:tcPr>
          <w:p>
            <w:pPr>
              <w:spacing w:before="40" w:after="40"/>
            </w:pPr>
            <w:r>
              <w:rPr>
                <w:shd w:val="clear" w:color="auto" w:fill="FEF7C3"/>
              </w:rPr>
              <w:t xml:space="preserve">[Enroll two new sellers in certification]</w:t>
            </w:r>
          </w:p>
        </w:tc>
        <w:tc>
          <w:tcPr>
            <w:tcW w:w="1872" w:type="dxa"/>
          </w:tcPr>
          <w:p>
            <w:pPr>
              <w:spacing w:before="40" w:after="40"/>
            </w:pPr>
            <w:r>
              <w:rPr>
                <w:shd w:val="clear" w:color="auto" w:fill="FEF7C3"/>
              </w:rPr>
              <w:t xml:space="preserve">[Partner manager]</w:t>
            </w:r>
          </w:p>
        </w:tc>
        <w:tc>
          <w:tcPr>
            <w:tcW w:w="1872" w:type="dxa"/>
          </w:tcPr>
          <w:p>
            <w:pPr>
              <w:spacing w:before="40" w:after="40"/>
            </w:pPr>
            <w:r>
              <w:rPr>
                <w:shd w:val="clear" w:color="auto" w:fill="FEF7C3"/>
              </w:rPr>
              <w:t xml:space="preserve">[Date]</w:t>
            </w:r>
          </w:p>
        </w:tc>
      </w:tr>
    </w:tbl>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 w:numId="3">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Partner Scorecard</dc:title>
  <dc:creator>Partner.io</dc:creator>
  <dcterms:created xsi:type="dcterms:W3CDTF">2026-01-01T00:00:00Z</dcterms:created>
</cp:coreProperties>
</file>